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1B" w:rsidRPr="007A6E1B" w:rsidRDefault="007A6E1B" w:rsidP="007A6E1B">
      <w:pPr>
        <w:spacing w:before="120" w:after="0" w:line="36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E1B">
        <w:rPr>
          <w:rFonts w:ascii="Times New Roman" w:eastAsia="Times New Roman" w:hAnsi="Times New Roman"/>
          <w:sz w:val="24"/>
          <w:szCs w:val="24"/>
          <w:lang w:eastAsia="ru-RU"/>
        </w:rPr>
        <w:t>МИНИСТЕРСТВО ЭКОНОМИЧЕСКОГО РАЗВИТИЯ КАЛУЖСКОЙ ОБЛАСТИ</w:t>
      </w:r>
    </w:p>
    <w:p w:rsidR="007A6E1B" w:rsidRDefault="007A6E1B" w:rsidP="007A6E1B"/>
    <w:p w:rsidR="007A6E1B" w:rsidRPr="007A6E1B" w:rsidRDefault="007A6E1B" w:rsidP="007A6E1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  <w:proofErr w:type="gramStart"/>
      <w:r w:rsidRPr="007A6E1B">
        <w:rPr>
          <w:rFonts w:ascii="Times New Roman" w:eastAsia="Times New Roman" w:hAnsi="Times New Roman"/>
          <w:b/>
          <w:sz w:val="40"/>
          <w:szCs w:val="24"/>
          <w:lang w:eastAsia="ru-RU"/>
        </w:rPr>
        <w:t>П</w:t>
      </w:r>
      <w:proofErr w:type="gramEnd"/>
      <w:r w:rsidRPr="007A6E1B">
        <w:rPr>
          <w:rFonts w:ascii="Times New Roman" w:eastAsia="Times New Roman" w:hAnsi="Times New Roman"/>
          <w:b/>
          <w:sz w:val="40"/>
          <w:szCs w:val="24"/>
          <w:lang w:eastAsia="ru-RU"/>
        </w:rPr>
        <w:t xml:space="preserve"> Р И К А З</w:t>
      </w:r>
    </w:p>
    <w:p w:rsidR="007A6E1B" w:rsidRDefault="007A6E1B" w:rsidP="007A6E1B"/>
    <w:p w:rsidR="007A6E1B" w:rsidRPr="007A6E1B" w:rsidRDefault="007A6E1B" w:rsidP="007A6E1B">
      <w:pPr>
        <w:spacing w:after="0" w:line="240" w:lineRule="auto"/>
        <w:jc w:val="both"/>
        <w:rPr>
          <w:rFonts w:ascii="Arial" w:eastAsia="Times New Roman" w:hAnsi="Arial"/>
          <w:szCs w:val="24"/>
          <w:lang w:eastAsia="ru-RU"/>
        </w:rPr>
      </w:pPr>
      <w:r w:rsidRPr="007A6E1B">
        <w:rPr>
          <w:rFonts w:ascii="Arial" w:eastAsia="Times New Roman" w:hAnsi="Arial"/>
          <w:szCs w:val="24"/>
          <w:lang w:eastAsia="ru-RU"/>
        </w:rPr>
        <w:t>от_________________                                                                                               №________</w:t>
      </w:r>
    </w:p>
    <w:p w:rsidR="007A6E1B" w:rsidRDefault="007A6E1B" w:rsidP="007A6E1B">
      <w:pPr>
        <w:tabs>
          <w:tab w:val="left" w:pos="5529"/>
        </w:tabs>
        <w:spacing w:after="0" w:line="240" w:lineRule="auto"/>
        <w:ind w:right="4675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7A6E1B" w:rsidRDefault="007A6E1B" w:rsidP="007A6E1B">
      <w:pPr>
        <w:tabs>
          <w:tab w:val="left" w:pos="5529"/>
        </w:tabs>
        <w:spacing w:after="0" w:line="240" w:lineRule="auto"/>
        <w:ind w:right="4675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4B0F9B" w:rsidRDefault="004B0F9B" w:rsidP="007A6E1B">
      <w:pPr>
        <w:tabs>
          <w:tab w:val="left" w:pos="5529"/>
        </w:tabs>
        <w:spacing w:after="0" w:line="240" w:lineRule="auto"/>
        <w:ind w:right="4675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7A6E1B" w:rsidRDefault="007A6E1B" w:rsidP="007A6E1B">
      <w:pPr>
        <w:tabs>
          <w:tab w:val="left" w:pos="5529"/>
        </w:tabs>
        <w:spacing w:after="0" w:line="240" w:lineRule="auto"/>
        <w:ind w:right="4675"/>
      </w:pPr>
      <w:r w:rsidRPr="007A6E1B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О внесении изменений в приказ министерства экономического развития Калужской области от 23.08.2012 № 807-п «Об утверждении Административного регламента предоставления министерством экономического развития Калужской области государственной услуги «Перевод земель или земельных участков из одной категории в другую, в том числе рассмотрение ходатайств о переводе земель или земельных участков из одной категории в другую»</w:t>
      </w:r>
    </w:p>
    <w:p w:rsidR="007A6E1B" w:rsidRDefault="007A6E1B" w:rsidP="007A6E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7A6E1B" w:rsidRPr="007A6E1B" w:rsidRDefault="007A6E1B" w:rsidP="007A6E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7A6E1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 Законом Калужской области от 25.07.1995 № 12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br/>
      </w:r>
      <w:r w:rsidRPr="007A6E1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«О нормативных правовых актах органов государственной власти Калужской области» </w:t>
      </w:r>
      <w:r w:rsidRPr="007A6E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ПРИКАЗЫВАЮ:</w:t>
      </w:r>
    </w:p>
    <w:p w:rsidR="007A6E1B" w:rsidRPr="007A6E1B" w:rsidRDefault="007A6E1B" w:rsidP="007A6E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gramStart"/>
      <w:r w:rsidRPr="007A6E1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внести в приказ министерства экономического развития Калужской области от 23.08.2012 № 807-п «Об утверждении Административного регламента предоставления министерством экономического развития Калужской области государственной услуги «Перевод земель или земельных участков из одной категории в другую, в том числе рассмотрение ходатайств о переводе земель или земельных участков из одной категории в другую» </w:t>
      </w:r>
      <w:bookmarkStart w:id="0" w:name="_GoBack"/>
      <w:r w:rsidR="00A3048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(в редакции приказа</w:t>
      </w:r>
      <w:r w:rsidR="008A400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8A400C" w:rsidRPr="004B0F9B">
        <w:rPr>
          <w:rFonts w:ascii="Times New Roman" w:eastAsia="Times New Roman" w:hAnsi="Times New Roman"/>
          <w:bCs/>
          <w:color w:val="000000"/>
          <w:spacing w:val="-4"/>
          <w:sz w:val="26"/>
          <w:szCs w:val="26"/>
          <w:lang w:eastAsia="ru-RU"/>
        </w:rPr>
        <w:t>министерства экономического развития Калужской области</w:t>
      </w:r>
      <w:r w:rsidR="00A30480" w:rsidRPr="004B0F9B">
        <w:rPr>
          <w:rFonts w:ascii="Times New Roman" w:eastAsia="Times New Roman" w:hAnsi="Times New Roman"/>
          <w:bCs/>
          <w:color w:val="000000"/>
          <w:spacing w:val="-4"/>
          <w:sz w:val="26"/>
          <w:szCs w:val="26"/>
          <w:lang w:eastAsia="ru-RU"/>
        </w:rPr>
        <w:t xml:space="preserve"> от</w:t>
      </w:r>
      <w:r w:rsidR="008A400C" w:rsidRPr="004B0F9B">
        <w:rPr>
          <w:rFonts w:ascii="Times New Roman" w:eastAsia="Times New Roman" w:hAnsi="Times New Roman"/>
          <w:bCs/>
          <w:color w:val="000000"/>
          <w:spacing w:val="-4"/>
          <w:sz w:val="26"/>
          <w:szCs w:val="26"/>
          <w:lang w:eastAsia="ru-RU"/>
        </w:rPr>
        <w:t xml:space="preserve"> 20.10.2014</w:t>
      </w:r>
      <w:r w:rsidR="00A30480" w:rsidRPr="004B0F9B">
        <w:rPr>
          <w:rFonts w:ascii="Times New Roman" w:eastAsia="Times New Roman" w:hAnsi="Times New Roman"/>
          <w:bCs/>
          <w:color w:val="000000"/>
          <w:spacing w:val="-4"/>
          <w:sz w:val="26"/>
          <w:szCs w:val="26"/>
          <w:lang w:eastAsia="ru-RU"/>
        </w:rPr>
        <w:t xml:space="preserve"> № 1557-п</w:t>
      </w:r>
      <w:proofErr w:type="gramEnd"/>
      <w:r w:rsidR="00A30480" w:rsidRPr="004B0F9B">
        <w:rPr>
          <w:rFonts w:ascii="Times New Roman" w:eastAsia="Times New Roman" w:hAnsi="Times New Roman"/>
          <w:bCs/>
          <w:color w:val="000000"/>
          <w:spacing w:val="-4"/>
          <w:sz w:val="26"/>
          <w:szCs w:val="26"/>
          <w:lang w:eastAsia="ru-RU"/>
        </w:rPr>
        <w:t>)</w:t>
      </w:r>
      <w:bookmarkEnd w:id="0"/>
      <w:r w:rsidR="00A3048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7A6E1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(далее – Приказ) следующие изменения:</w:t>
      </w:r>
    </w:p>
    <w:p w:rsidR="00636F44" w:rsidRPr="00636F44" w:rsidRDefault="007A6E1B" w:rsidP="00D518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A6E1B">
        <w:rPr>
          <w:rFonts w:ascii="Times New Roman" w:hAnsi="Times New Roman"/>
          <w:bCs/>
          <w:color w:val="000000"/>
          <w:sz w:val="26"/>
          <w:szCs w:val="26"/>
        </w:rPr>
        <w:t>1.</w:t>
      </w:r>
      <w:r w:rsidRPr="007A6E1B">
        <w:rPr>
          <w:rFonts w:ascii="Times New Roman" w:hAnsi="Times New Roman"/>
          <w:bCs/>
          <w:color w:val="000000"/>
          <w:sz w:val="26"/>
          <w:szCs w:val="26"/>
        </w:rPr>
        <w:tab/>
      </w:r>
      <w:proofErr w:type="gramStart"/>
      <w:r w:rsidR="00636F44" w:rsidRPr="00636F44">
        <w:rPr>
          <w:rFonts w:ascii="Times New Roman" w:hAnsi="Times New Roman"/>
          <w:bCs/>
          <w:sz w:val="26"/>
          <w:szCs w:val="26"/>
        </w:rPr>
        <w:t>Наименование пункта 1</w:t>
      </w:r>
      <w:r w:rsidR="00636F44">
        <w:rPr>
          <w:rFonts w:ascii="Times New Roman" w:hAnsi="Times New Roman"/>
          <w:bCs/>
          <w:sz w:val="26"/>
          <w:szCs w:val="26"/>
        </w:rPr>
        <w:t>8</w:t>
      </w:r>
      <w:r w:rsidR="00636F44" w:rsidRPr="00636F44">
        <w:rPr>
          <w:rFonts w:ascii="Times New Roman" w:hAnsi="Times New Roman"/>
          <w:bCs/>
          <w:sz w:val="26"/>
          <w:szCs w:val="26"/>
        </w:rPr>
        <w:t xml:space="preserve"> раздела </w:t>
      </w:r>
      <w:r w:rsidR="005E0464">
        <w:rPr>
          <w:rFonts w:ascii="Times New Roman" w:hAnsi="Times New Roman"/>
          <w:bCs/>
          <w:sz w:val="26"/>
          <w:szCs w:val="26"/>
          <w:lang w:val="en-US"/>
        </w:rPr>
        <w:t>II</w:t>
      </w:r>
      <w:r w:rsidR="00636F44" w:rsidRPr="00636F44">
        <w:rPr>
          <w:rFonts w:ascii="Times New Roman" w:hAnsi="Times New Roman"/>
          <w:bCs/>
          <w:sz w:val="26"/>
          <w:szCs w:val="26"/>
        </w:rPr>
        <w:t xml:space="preserve"> «Стандарт предоставления государственной услуги» приложения</w:t>
      </w:r>
      <w:r w:rsidR="00636F44">
        <w:rPr>
          <w:rFonts w:ascii="Times New Roman" w:hAnsi="Times New Roman"/>
          <w:bCs/>
          <w:sz w:val="26"/>
          <w:szCs w:val="26"/>
        </w:rPr>
        <w:t xml:space="preserve"> «</w:t>
      </w:r>
      <w:r w:rsidR="00D83425" w:rsidRPr="00D83425">
        <w:rPr>
          <w:rFonts w:ascii="Times New Roman" w:hAnsi="Times New Roman"/>
          <w:bCs/>
          <w:sz w:val="26"/>
          <w:szCs w:val="26"/>
        </w:rPr>
        <w:t xml:space="preserve">Административный регламент предоставления министерством экономического развития Калужской области государственной услуги </w:t>
      </w:r>
      <w:r w:rsidR="00D83425">
        <w:rPr>
          <w:rFonts w:ascii="Times New Roman" w:hAnsi="Times New Roman"/>
          <w:bCs/>
          <w:sz w:val="26"/>
          <w:szCs w:val="26"/>
        </w:rPr>
        <w:t>«</w:t>
      </w:r>
      <w:r w:rsidR="00D83425" w:rsidRPr="00D83425">
        <w:rPr>
          <w:rFonts w:ascii="Times New Roman" w:hAnsi="Times New Roman"/>
          <w:bCs/>
          <w:sz w:val="26"/>
          <w:szCs w:val="26"/>
        </w:rPr>
        <w:t>Перевод земель или земельных участков из одной категории в другую, в том числе рассмотрение ходатайств о переводе земель или земельных участков из одной категории в другую</w:t>
      </w:r>
      <w:r w:rsidR="00636F44">
        <w:rPr>
          <w:rFonts w:ascii="Times New Roman" w:hAnsi="Times New Roman"/>
          <w:bCs/>
          <w:sz w:val="26"/>
          <w:szCs w:val="26"/>
        </w:rPr>
        <w:t>»</w:t>
      </w:r>
      <w:r w:rsidR="00636F44" w:rsidRPr="00636F44">
        <w:rPr>
          <w:rFonts w:ascii="Times New Roman" w:hAnsi="Times New Roman"/>
          <w:bCs/>
          <w:sz w:val="26"/>
          <w:szCs w:val="26"/>
        </w:rPr>
        <w:t xml:space="preserve"> </w:t>
      </w:r>
      <w:r w:rsidR="00636F44">
        <w:rPr>
          <w:rFonts w:ascii="Times New Roman" w:hAnsi="Times New Roman"/>
          <w:bCs/>
          <w:sz w:val="26"/>
          <w:szCs w:val="26"/>
        </w:rPr>
        <w:t xml:space="preserve">(далее – приложение) </w:t>
      </w:r>
      <w:r w:rsidR="00636F44" w:rsidRPr="00636F44">
        <w:rPr>
          <w:rFonts w:ascii="Times New Roman" w:hAnsi="Times New Roman"/>
          <w:bCs/>
          <w:sz w:val="26"/>
          <w:szCs w:val="26"/>
        </w:rPr>
        <w:t>к</w:t>
      </w:r>
      <w:r w:rsidR="00636F44">
        <w:rPr>
          <w:rFonts w:ascii="Times New Roman" w:hAnsi="Times New Roman"/>
          <w:bCs/>
          <w:sz w:val="26"/>
          <w:szCs w:val="26"/>
        </w:rPr>
        <w:t> </w:t>
      </w:r>
      <w:r w:rsidR="00636F44" w:rsidRPr="00636F44">
        <w:rPr>
          <w:rFonts w:ascii="Times New Roman" w:hAnsi="Times New Roman"/>
          <w:bCs/>
          <w:sz w:val="26"/>
          <w:szCs w:val="26"/>
        </w:rPr>
        <w:t>Приказу изложить в следующей редакции:</w:t>
      </w:r>
      <w:proofErr w:type="gramEnd"/>
    </w:p>
    <w:p w:rsidR="00636F44" w:rsidRDefault="00636F44" w:rsidP="00636F44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636F44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636F4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636F44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</w:t>
      </w:r>
      <w:r w:rsidRPr="00636F4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для инвалидов указанных объектов в соответствии с законодательством</w:t>
      </w:r>
      <w:proofErr w:type="gramEnd"/>
      <w:r w:rsidRPr="00636F44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 социальной защите инвалидов».</w:t>
      </w:r>
    </w:p>
    <w:p w:rsidR="00636F44" w:rsidRPr="00636F44" w:rsidRDefault="007A6E1B" w:rsidP="00D518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A6E1B">
        <w:rPr>
          <w:rFonts w:ascii="Times New Roman" w:hAnsi="Times New Roman"/>
          <w:bCs/>
          <w:color w:val="000000"/>
          <w:sz w:val="26"/>
          <w:szCs w:val="26"/>
        </w:rPr>
        <w:t>2.</w:t>
      </w:r>
      <w:r w:rsidRPr="007A6E1B">
        <w:rPr>
          <w:rFonts w:ascii="Times New Roman" w:hAnsi="Times New Roman"/>
          <w:bCs/>
          <w:color w:val="000000"/>
          <w:sz w:val="26"/>
          <w:szCs w:val="26"/>
        </w:rPr>
        <w:tab/>
      </w:r>
      <w:r w:rsidR="00636F44" w:rsidRPr="00D518EF">
        <w:rPr>
          <w:rFonts w:ascii="Times New Roman" w:hAnsi="Times New Roman"/>
          <w:bCs/>
          <w:sz w:val="26"/>
          <w:szCs w:val="26"/>
        </w:rPr>
        <w:t>Пункт</w:t>
      </w:r>
      <w:r w:rsidR="00636F44" w:rsidRPr="00636F44">
        <w:rPr>
          <w:rFonts w:ascii="Times New Roman" w:hAnsi="Times New Roman"/>
          <w:bCs/>
          <w:color w:val="000000"/>
          <w:sz w:val="26"/>
          <w:szCs w:val="26"/>
        </w:rPr>
        <w:t xml:space="preserve"> 1</w:t>
      </w:r>
      <w:r w:rsidR="00636F44">
        <w:rPr>
          <w:rFonts w:ascii="Times New Roman" w:hAnsi="Times New Roman"/>
          <w:bCs/>
          <w:color w:val="000000"/>
          <w:sz w:val="26"/>
          <w:szCs w:val="26"/>
        </w:rPr>
        <w:t>8</w:t>
      </w:r>
      <w:r w:rsidR="00636F44" w:rsidRPr="00636F44">
        <w:rPr>
          <w:rFonts w:ascii="Times New Roman" w:hAnsi="Times New Roman"/>
          <w:bCs/>
          <w:color w:val="000000"/>
          <w:sz w:val="26"/>
          <w:szCs w:val="26"/>
        </w:rPr>
        <w:t xml:space="preserve"> раздела </w:t>
      </w:r>
      <w:r w:rsidR="005E0464">
        <w:rPr>
          <w:rFonts w:ascii="Times New Roman" w:hAnsi="Times New Roman"/>
          <w:bCs/>
          <w:color w:val="000000"/>
          <w:sz w:val="26"/>
          <w:szCs w:val="26"/>
          <w:lang w:val="en-US"/>
        </w:rPr>
        <w:t>II</w:t>
      </w:r>
      <w:r w:rsidR="00636F44" w:rsidRPr="00636F44">
        <w:rPr>
          <w:rFonts w:ascii="Times New Roman" w:hAnsi="Times New Roman"/>
          <w:bCs/>
          <w:color w:val="000000"/>
          <w:sz w:val="26"/>
          <w:szCs w:val="26"/>
        </w:rPr>
        <w:t xml:space="preserve"> «Стандарт предоставления государственной услуги» приложения к Приказу дополнить пунктом 1</w:t>
      </w:r>
      <w:r w:rsidR="00D01134">
        <w:rPr>
          <w:rFonts w:ascii="Times New Roman" w:hAnsi="Times New Roman"/>
          <w:bCs/>
          <w:color w:val="000000"/>
          <w:sz w:val="26"/>
          <w:szCs w:val="26"/>
        </w:rPr>
        <w:t>8</w:t>
      </w:r>
      <w:r w:rsidR="00636F44" w:rsidRPr="00636F44">
        <w:rPr>
          <w:rFonts w:ascii="Times New Roman" w:hAnsi="Times New Roman"/>
          <w:bCs/>
          <w:color w:val="000000"/>
          <w:sz w:val="26"/>
          <w:szCs w:val="26"/>
        </w:rPr>
        <w:t>.5 следующего содержания:</w:t>
      </w:r>
    </w:p>
    <w:p w:rsidR="00636F44" w:rsidRPr="00636F44" w:rsidRDefault="00636F44" w:rsidP="00D518EF">
      <w:pPr>
        <w:tabs>
          <w:tab w:val="left" w:pos="54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«1</w:t>
      </w:r>
      <w:r w:rsidR="00D0113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8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.5. Требования к обеспечению условий доступности для инвалидов</w:t>
      </w:r>
      <w:r w:rsidR="00D0113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 - 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получателей государственной услуги:</w:t>
      </w:r>
    </w:p>
    <w:p w:rsidR="00636F44" w:rsidRPr="00636F44" w:rsidRDefault="00636F44" w:rsidP="00D01134">
      <w:pPr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ab/>
        <w:t>возможность беспрепятственного доступа к объектам (зданиям, помещениям), в которых предоставляется</w:t>
      </w:r>
      <w:r w:rsidR="004F50FE" w:rsidRPr="004F50FE">
        <w:t xml:space="preserve"> </w:t>
      </w:r>
      <w:r w:rsidR="004F50FE" w:rsidRPr="004F50F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государственная  услуга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а также беспрепятственного пользования транспортом, средствами связи и информации;</w:t>
      </w:r>
    </w:p>
    <w:p w:rsidR="00636F44" w:rsidRPr="00636F44" w:rsidRDefault="00636F44" w:rsidP="00D01134">
      <w:pPr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ab/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D0113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кресла-коляски;</w:t>
      </w:r>
    </w:p>
    <w:p w:rsidR="00636F44" w:rsidRPr="00636F44" w:rsidRDefault="00636F44" w:rsidP="00D01134">
      <w:pPr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636F44" w:rsidRPr="00636F44" w:rsidRDefault="00636F44" w:rsidP="00D01134">
      <w:pPr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и к услуг</w:t>
      </w:r>
      <w:r w:rsidR="004F50F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ам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 учетом ограничений их жизнедеятельности;</w:t>
      </w:r>
    </w:p>
    <w:p w:rsidR="00636F44" w:rsidRPr="00636F44" w:rsidRDefault="00636F44" w:rsidP="00D01134">
      <w:pPr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36F44" w:rsidRPr="00636F44" w:rsidRDefault="00636F44" w:rsidP="00D01134">
      <w:pPr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ab/>
        <w:t xml:space="preserve">допуск </w:t>
      </w:r>
      <w:proofErr w:type="spellStart"/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сурдопереводчика</w:t>
      </w:r>
      <w:proofErr w:type="spellEnd"/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 </w:t>
      </w:r>
      <w:proofErr w:type="spellStart"/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тифлосурдопереводчика</w:t>
      </w:r>
      <w:proofErr w:type="spellEnd"/>
      <w:r w:rsidR="004F50FE" w:rsidRPr="004F50FE">
        <w:t xml:space="preserve"> </w:t>
      </w:r>
      <w:r w:rsidR="004F50FE" w:rsidRPr="004F50F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на объекты (здания, помещения), в которых предоставляется государственная услуга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;</w:t>
      </w:r>
    </w:p>
    <w:p w:rsidR="00636F44" w:rsidRPr="00636F44" w:rsidRDefault="00636F44" w:rsidP="00D01134">
      <w:pPr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ab/>
        <w:t xml:space="preserve">допуск собаки-проводника </w:t>
      </w:r>
      <w:r w:rsidR="004F50F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при наличии документа, подтверждающего ее специальное обучение, 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на объекты (здания, помещения), в которых предоставляется государственная услуга;</w:t>
      </w:r>
    </w:p>
    <w:p w:rsidR="00636F44" w:rsidRPr="00636F44" w:rsidRDefault="00636F44" w:rsidP="00D01134">
      <w:pPr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ab/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7A6E1B" w:rsidRPr="007A6E1B" w:rsidRDefault="00636F44" w:rsidP="00636F44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 случае невозможности полностью приспособить объекты</w:t>
      </w:r>
      <w:r w:rsidR="00D518E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D518EF" w:rsidRPr="00D518E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(здания, помещения), в которых предоставляется государственная услуга</w:t>
      </w:r>
      <w:r w:rsidR="00D518E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 учетом потребностей инвалидов в соответствии с частью 4 статьи 15 Федерального закона «О социальной защите инвалидов в Российской Федерации» </w:t>
      </w:r>
      <w:r w:rsidR="00D518E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необходимо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принимать меры для обеспечения доступа инвалидов к месту предоставления государственной услуги, либо когда </w:t>
      </w:r>
      <w:proofErr w:type="gramStart"/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это</w:t>
      </w:r>
      <w:proofErr w:type="gramEnd"/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возможно, </w:t>
      </w:r>
      <w:r w:rsidR="00D518E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обеспечить 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ее предоставлени</w:t>
      </w:r>
      <w:r w:rsidR="00D518E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</w:t>
      </w:r>
      <w:r w:rsidRPr="00636F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по месту жительства инвалида или в дистанционном режиме.».</w:t>
      </w:r>
      <w:r w:rsidR="007A6E1B" w:rsidRPr="007A6E1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7A6E1B" w:rsidRPr="007A6E1B" w:rsidRDefault="004F50FE" w:rsidP="00D518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</w:t>
      </w:r>
      <w:r w:rsidR="007A6E1B" w:rsidRPr="007A6E1B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7A6E1B" w:rsidRPr="007A6E1B">
        <w:rPr>
          <w:rFonts w:ascii="Times New Roman" w:hAnsi="Times New Roman"/>
          <w:bCs/>
          <w:color w:val="000000"/>
          <w:sz w:val="26"/>
          <w:szCs w:val="26"/>
        </w:rPr>
        <w:tab/>
        <w:t>Настоящий приказ вступает в силу с момента его официального опубликования.</w:t>
      </w:r>
    </w:p>
    <w:p w:rsidR="007A6E1B" w:rsidRDefault="007A6E1B" w:rsidP="007A6E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7A6E1B" w:rsidRDefault="007A6E1B" w:rsidP="007A6E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7A6E1B" w:rsidRDefault="007A6E1B" w:rsidP="007A6E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7A6E1B" w:rsidRPr="007A6E1B" w:rsidRDefault="007A6E1B" w:rsidP="007A6E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7A6E1B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Министр</w:t>
      </w:r>
    </w:p>
    <w:p w:rsidR="007A6E1B" w:rsidRPr="007A6E1B" w:rsidRDefault="007A6E1B" w:rsidP="007A6E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7A6E1B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экономического развития</w:t>
      </w:r>
    </w:p>
    <w:p w:rsidR="00ED7F35" w:rsidRDefault="007A6E1B" w:rsidP="004F50FE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7A6E1B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Калужской области</w:t>
      </w:r>
      <w:r w:rsidRPr="007A6E1B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ab/>
      </w:r>
      <w:r w:rsidRPr="007A6E1B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ab/>
      </w:r>
      <w:r w:rsidRPr="007A6E1B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ab/>
      </w:r>
      <w:r w:rsidRPr="007A6E1B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ab/>
      </w:r>
      <w:r w:rsidRPr="007A6E1B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ab/>
      </w:r>
      <w:r w:rsidRPr="007A6E1B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ab/>
      </w:r>
      <w:r w:rsidRPr="007A6E1B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ab/>
        <w:t xml:space="preserve">            </w:t>
      </w:r>
      <w:r w:rsidR="004F50FE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 </w:t>
      </w:r>
      <w:r w:rsidRPr="007A6E1B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 В.И. Попов</w:t>
      </w:r>
    </w:p>
    <w:p w:rsidR="00373C25" w:rsidRDefault="00373C25" w:rsidP="004F50FE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373C25" w:rsidRDefault="00373C2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br w:type="page"/>
      </w:r>
    </w:p>
    <w:p w:rsidR="00373C25" w:rsidRPr="00373C25" w:rsidRDefault="00373C25" w:rsidP="00373C25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6"/>
          <w:szCs w:val="20"/>
          <w:lang w:eastAsia="ru-RU"/>
        </w:rPr>
      </w:pPr>
      <w:r w:rsidRPr="00373C25">
        <w:rPr>
          <w:rFonts w:ascii="Times New Roman" w:eastAsia="Times New Roman" w:hAnsi="Times New Roman"/>
          <w:b/>
          <w:bCs/>
          <w:sz w:val="26"/>
          <w:szCs w:val="20"/>
          <w:lang w:eastAsia="ru-RU"/>
        </w:rPr>
        <w:lastRenderedPageBreak/>
        <w:t>Согласовано</w:t>
      </w:r>
    </w:p>
    <w:p w:rsidR="00373C25" w:rsidRPr="00373C25" w:rsidRDefault="00373C25" w:rsidP="00373C2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217"/>
        <w:gridCol w:w="2976"/>
        <w:gridCol w:w="2692"/>
      </w:tblGrid>
      <w:tr w:rsidR="00373C25" w:rsidRPr="00373C25" w:rsidTr="006F6559">
        <w:tc>
          <w:tcPr>
            <w:tcW w:w="4217" w:type="dxa"/>
            <w:vAlign w:val="bottom"/>
            <w:hideMark/>
          </w:tcPr>
          <w:p w:rsidR="00373C25" w:rsidRPr="00373C25" w:rsidRDefault="00373C25" w:rsidP="00373C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val="en-GB" w:eastAsia="ru-RU"/>
              </w:rPr>
            </w:pPr>
            <w:proofErr w:type="spellStart"/>
            <w:r w:rsidRPr="00373C25">
              <w:rPr>
                <w:rFonts w:ascii="Times New Roman" w:eastAsia="Times New Roman" w:hAnsi="Times New Roman"/>
                <w:sz w:val="26"/>
                <w:szCs w:val="20"/>
                <w:lang w:val="en-GB" w:eastAsia="ru-RU"/>
              </w:rPr>
              <w:t>Заместитель</w:t>
            </w:r>
            <w:proofErr w:type="spellEnd"/>
            <w:r w:rsidRPr="00373C25">
              <w:rPr>
                <w:rFonts w:ascii="Times New Roman" w:eastAsia="Times New Roman" w:hAnsi="Times New Roman"/>
                <w:sz w:val="26"/>
                <w:szCs w:val="20"/>
                <w:lang w:val="en-GB" w:eastAsia="ru-RU"/>
              </w:rPr>
              <w:t xml:space="preserve"> </w:t>
            </w:r>
            <w:proofErr w:type="spellStart"/>
            <w:r w:rsidRPr="00373C25">
              <w:rPr>
                <w:rFonts w:ascii="Times New Roman" w:eastAsia="Times New Roman" w:hAnsi="Times New Roman"/>
                <w:sz w:val="26"/>
                <w:szCs w:val="20"/>
                <w:lang w:val="en-GB" w:eastAsia="ru-RU"/>
              </w:rPr>
              <w:t>министра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C25" w:rsidRPr="00373C25" w:rsidRDefault="00373C25" w:rsidP="00373C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val="en-GB" w:eastAsia="ru-RU"/>
              </w:rPr>
            </w:pPr>
          </w:p>
        </w:tc>
        <w:tc>
          <w:tcPr>
            <w:tcW w:w="2692" w:type="dxa"/>
            <w:vAlign w:val="bottom"/>
          </w:tcPr>
          <w:p w:rsidR="00373C25" w:rsidRPr="00373C25" w:rsidRDefault="00373C25" w:rsidP="00373C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/>
                <w:sz w:val="26"/>
                <w:szCs w:val="20"/>
                <w:lang w:val="en-GB" w:eastAsia="ru-RU"/>
              </w:rPr>
            </w:pPr>
          </w:p>
          <w:p w:rsidR="00373C25" w:rsidRPr="00373C25" w:rsidRDefault="00373C25" w:rsidP="00373C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/>
                <w:sz w:val="26"/>
                <w:szCs w:val="20"/>
                <w:lang w:val="en-GB" w:eastAsia="ru-RU"/>
              </w:rPr>
            </w:pPr>
          </w:p>
          <w:p w:rsidR="00373C25" w:rsidRPr="00373C25" w:rsidRDefault="00373C25" w:rsidP="00373C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val="en-GB" w:eastAsia="ru-RU"/>
              </w:rPr>
            </w:pPr>
            <w:r w:rsidRPr="00373C25">
              <w:rPr>
                <w:rFonts w:ascii="Times New Roman" w:eastAsia="Times New Roman" w:hAnsi="Times New Roman"/>
                <w:sz w:val="26"/>
                <w:szCs w:val="20"/>
                <w:lang w:val="en-GB" w:eastAsia="ru-RU"/>
              </w:rPr>
              <w:t>Ю.В. Чернышева</w:t>
            </w:r>
          </w:p>
        </w:tc>
      </w:tr>
      <w:tr w:rsidR="00373C25" w:rsidRPr="00373C25" w:rsidTr="006F6559">
        <w:tc>
          <w:tcPr>
            <w:tcW w:w="4217" w:type="dxa"/>
            <w:vAlign w:val="bottom"/>
          </w:tcPr>
          <w:p w:rsidR="00373C25" w:rsidRPr="00373C25" w:rsidRDefault="00373C25" w:rsidP="00373C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val="en-GB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73C25" w:rsidRPr="00373C25" w:rsidRDefault="00373C25" w:rsidP="00373C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373C25">
              <w:rPr>
                <w:rFonts w:ascii="Times New Roman" w:eastAsia="Times New Roman" w:hAnsi="Times New Roman"/>
                <w:sz w:val="26"/>
                <w:szCs w:val="20"/>
                <w:lang w:val="en-GB" w:eastAsia="ru-RU"/>
              </w:rPr>
              <w:t>«___» ___________ 201</w:t>
            </w:r>
            <w:r w:rsidRPr="00373C25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2692" w:type="dxa"/>
            <w:vAlign w:val="bottom"/>
          </w:tcPr>
          <w:p w:rsidR="00373C25" w:rsidRPr="00373C25" w:rsidRDefault="00373C25" w:rsidP="00373C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/>
                <w:sz w:val="26"/>
                <w:szCs w:val="20"/>
                <w:lang w:val="en-GB" w:eastAsia="ru-RU"/>
              </w:rPr>
            </w:pPr>
          </w:p>
        </w:tc>
      </w:tr>
    </w:tbl>
    <w:p w:rsidR="00373C25" w:rsidRPr="00373C25" w:rsidRDefault="00373C25" w:rsidP="00373C2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373C25" w:rsidRDefault="00373C25" w:rsidP="004F50FE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373C25" w:rsidRPr="00373C25" w:rsidRDefault="00373C25" w:rsidP="00373C25">
      <w:pPr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3C25" w:rsidRPr="00373C25" w:rsidRDefault="00373C25" w:rsidP="00373C25">
      <w:pPr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3C25" w:rsidRPr="00373C25" w:rsidRDefault="00373C25" w:rsidP="00373C25">
      <w:pPr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3C25" w:rsidRPr="00373C25" w:rsidRDefault="00373C25" w:rsidP="00373C25">
      <w:pPr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3C25" w:rsidRPr="00373C25" w:rsidRDefault="00373C25" w:rsidP="00373C25">
      <w:pPr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3C25" w:rsidRPr="00373C25" w:rsidRDefault="00373C25" w:rsidP="00373C25">
      <w:pPr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3C25" w:rsidRPr="00373C25" w:rsidRDefault="00373C25" w:rsidP="00373C25">
      <w:pPr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3C25" w:rsidRPr="00373C25" w:rsidRDefault="00373C25" w:rsidP="00373C25">
      <w:pPr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3C25" w:rsidRPr="00373C25" w:rsidRDefault="00373C25" w:rsidP="00373C25">
      <w:pPr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3C25" w:rsidRDefault="00373C25" w:rsidP="00373C25">
      <w:pPr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3C25" w:rsidRDefault="00373C25" w:rsidP="00373C25">
      <w:pPr>
        <w:tabs>
          <w:tab w:val="left" w:pos="442"/>
        </w:tabs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ab/>
      </w:r>
    </w:p>
    <w:p w:rsidR="00373C25" w:rsidRDefault="00373C25" w:rsidP="00373C25">
      <w:pPr>
        <w:tabs>
          <w:tab w:val="left" w:pos="442"/>
        </w:tabs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3C25" w:rsidRDefault="00373C25" w:rsidP="00373C25">
      <w:pPr>
        <w:tabs>
          <w:tab w:val="left" w:pos="442"/>
        </w:tabs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3C25" w:rsidRDefault="00373C25" w:rsidP="00373C25">
      <w:pPr>
        <w:tabs>
          <w:tab w:val="left" w:pos="442"/>
        </w:tabs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3C25" w:rsidRDefault="00373C25" w:rsidP="00373C25">
      <w:pPr>
        <w:tabs>
          <w:tab w:val="left" w:pos="442"/>
        </w:tabs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3C25" w:rsidRDefault="00373C25" w:rsidP="00373C25">
      <w:pPr>
        <w:tabs>
          <w:tab w:val="left" w:pos="442"/>
        </w:tabs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3C25" w:rsidRDefault="00373C25" w:rsidP="00373C25">
      <w:pPr>
        <w:pStyle w:val="a5"/>
        <w:rPr>
          <w:rFonts w:ascii="Times New Roman" w:hAnsi="Times New Roman"/>
          <w:sz w:val="16"/>
        </w:rPr>
      </w:pPr>
    </w:p>
    <w:p w:rsidR="00373C25" w:rsidRDefault="00373C25" w:rsidP="00373C25">
      <w:pPr>
        <w:pStyle w:val="a5"/>
        <w:rPr>
          <w:rFonts w:ascii="Times New Roman" w:hAnsi="Times New Roman"/>
          <w:sz w:val="16"/>
        </w:rPr>
      </w:pPr>
    </w:p>
    <w:p w:rsidR="00373C25" w:rsidRDefault="00373C25" w:rsidP="00373C25">
      <w:pPr>
        <w:pStyle w:val="a5"/>
        <w:rPr>
          <w:rFonts w:ascii="Times New Roman" w:hAnsi="Times New Roman"/>
          <w:sz w:val="16"/>
        </w:rPr>
      </w:pPr>
    </w:p>
    <w:p w:rsidR="00373C25" w:rsidRPr="00373C25" w:rsidRDefault="00373C25" w:rsidP="00373C25">
      <w:pPr>
        <w:pStyle w:val="a5"/>
        <w:rPr>
          <w:rFonts w:ascii="Times New Roman" w:hAnsi="Times New Roman"/>
          <w:sz w:val="16"/>
        </w:rPr>
      </w:pPr>
      <w:r w:rsidRPr="00373C25">
        <w:rPr>
          <w:rFonts w:ascii="Times New Roman" w:hAnsi="Times New Roman"/>
          <w:sz w:val="16"/>
        </w:rPr>
        <w:t>И.С. Горельченкова</w:t>
      </w:r>
    </w:p>
    <w:p w:rsidR="00373C25" w:rsidRPr="00373C25" w:rsidRDefault="00373C25" w:rsidP="00373C25">
      <w:pPr>
        <w:pStyle w:val="a5"/>
      </w:pPr>
      <w:r w:rsidRPr="00373C25">
        <w:rPr>
          <w:rFonts w:ascii="Times New Roman" w:hAnsi="Times New Roman"/>
          <w:sz w:val="16"/>
        </w:rPr>
        <w:t>39-53</w:t>
      </w:r>
    </w:p>
    <w:sectPr w:rsidR="00373C25" w:rsidRPr="00373C25" w:rsidSect="00373C25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43" w:rsidRDefault="00132643" w:rsidP="007A6E1B">
      <w:pPr>
        <w:spacing w:after="0" w:line="240" w:lineRule="auto"/>
      </w:pPr>
      <w:r>
        <w:separator/>
      </w:r>
    </w:p>
  </w:endnote>
  <w:endnote w:type="continuationSeparator" w:id="0">
    <w:p w:rsidR="00132643" w:rsidRDefault="00132643" w:rsidP="007A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43" w:rsidRDefault="00132643" w:rsidP="007A6E1B">
      <w:pPr>
        <w:spacing w:after="0" w:line="240" w:lineRule="auto"/>
      </w:pPr>
      <w:r>
        <w:separator/>
      </w:r>
    </w:p>
  </w:footnote>
  <w:footnote w:type="continuationSeparator" w:id="0">
    <w:p w:rsidR="00132643" w:rsidRDefault="00132643" w:rsidP="007A6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1B"/>
    <w:rsid w:val="00057D72"/>
    <w:rsid w:val="00132643"/>
    <w:rsid w:val="00232324"/>
    <w:rsid w:val="002450E1"/>
    <w:rsid w:val="0036701B"/>
    <w:rsid w:val="00373C25"/>
    <w:rsid w:val="00387394"/>
    <w:rsid w:val="004116C6"/>
    <w:rsid w:val="004B0F9B"/>
    <w:rsid w:val="004F50FE"/>
    <w:rsid w:val="00526C74"/>
    <w:rsid w:val="005D716F"/>
    <w:rsid w:val="005E0464"/>
    <w:rsid w:val="00636F44"/>
    <w:rsid w:val="006F1AD2"/>
    <w:rsid w:val="006F6559"/>
    <w:rsid w:val="007A6E1B"/>
    <w:rsid w:val="008A400C"/>
    <w:rsid w:val="009F49D9"/>
    <w:rsid w:val="00A30480"/>
    <w:rsid w:val="00A4473E"/>
    <w:rsid w:val="00A736AF"/>
    <w:rsid w:val="00A84FCD"/>
    <w:rsid w:val="00CE0024"/>
    <w:rsid w:val="00D01134"/>
    <w:rsid w:val="00D518EF"/>
    <w:rsid w:val="00D83425"/>
    <w:rsid w:val="00E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1B"/>
  </w:style>
  <w:style w:type="paragraph" w:styleId="a5">
    <w:name w:val="footer"/>
    <w:basedOn w:val="a"/>
    <w:link w:val="a6"/>
    <w:uiPriority w:val="99"/>
    <w:unhideWhenUsed/>
    <w:rsid w:val="007A6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1B"/>
  </w:style>
  <w:style w:type="paragraph" w:customStyle="1" w:styleId="ConsPlusNormal">
    <w:name w:val="ConsPlusNormal"/>
    <w:uiPriority w:val="99"/>
    <w:rsid w:val="00636F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1B"/>
  </w:style>
  <w:style w:type="paragraph" w:styleId="a5">
    <w:name w:val="footer"/>
    <w:basedOn w:val="a"/>
    <w:link w:val="a6"/>
    <w:uiPriority w:val="99"/>
    <w:unhideWhenUsed/>
    <w:rsid w:val="007A6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1B"/>
  </w:style>
  <w:style w:type="paragraph" w:customStyle="1" w:styleId="ConsPlusNormal">
    <w:name w:val="ConsPlusNormal"/>
    <w:uiPriority w:val="99"/>
    <w:rsid w:val="00636F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Горельченкова Ирина Станиславовна</dc:creator>
  <cp:lastModifiedBy>Горельченкова Ирина Станиславовна</cp:lastModifiedBy>
  <cp:revision>10</cp:revision>
  <cp:lastPrinted>2016-05-19T12:05:00Z</cp:lastPrinted>
  <dcterms:created xsi:type="dcterms:W3CDTF">2016-05-04T11:53:00Z</dcterms:created>
  <dcterms:modified xsi:type="dcterms:W3CDTF">2016-05-19T13:10:00Z</dcterms:modified>
</cp:coreProperties>
</file>